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jc w:val="center"/>
      </w:pPr>
      <w:r>
        <w:drawing>
          <wp:inline distT="0" distB="0" distL="0" distR="0">
            <wp:extent cx="1428750" cy="1866900"/>
            <wp:effectExtent t="0" r="0" b="0" l="0"/>
            <wp:docPr id="1" name="xi-logo" descr="Xi Empathy Logo" title="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428750" cy="1866900"/>
                    </a:xfrm>
                    <a:prstGeom prst="rect">
                      <a:avLst/>
                    </a:prstGeom>
                  </pic:spPr>
                </pic:pic>
              </a:graphicData>
            </a:graphic>
          </wp:inline>
        </w:drawing>
      </w:r>
    </w:p>
    <w:p>
      <w:pPr>
        <w:spacing w:after="400"/>
      </w:pPr>
    </w:p>
    <w:p>
      <w:pPr>
        <w:jc w:val="center"/>
      </w:pPr>
      <w:r>
        <w:rPr>
          <w:rFonts w:ascii="Inter" w:cs="Inter" w:eastAsia="Inter" w:hAnsi="Inter"/>
          <w:b/>
          <w:bCs/>
          <w:color w:val="1A1A1A"/>
          <w:sz w:val="40"/>
          <w:szCs w:val="40"/>
        </w:rPr>
        <w:t xml:space="preserve">RAPPORT DE MÉDIATION</w:t>
      </w:r>
    </w:p>
    <w:p>
      <w:pPr>
        <w:spacing w:after="200"/>
      </w:pPr>
    </w:p>
    <w:p>
      <w:pPr>
        <w:jc w:val="center"/>
      </w:pPr>
      <w:r>
        <w:rPr>
          <w:rFonts w:ascii="Inter" w:cs="Inter" w:eastAsia="Inter" w:hAnsi="Inter"/>
          <w:color w:val="7A7269"/>
          <w:sz w:val="28"/>
          <w:szCs w:val="28"/>
        </w:rPr>
        <w:t xml:space="preserve">Marie Dupont  &amp;  Thomas Dupont</w:t>
      </w:r>
    </w:p>
    <w:p>
      <w:pPr>
        <w:spacing w:after="400"/>
        <w:jc w:val="center"/>
      </w:pPr>
      <w:r>
        <w:rPr>
          <w:rFonts w:ascii="Inter" w:cs="Inter" w:eastAsia="Inter" w:hAnsi="Inter"/>
          <w:color w:val="7A7269"/>
          <w:sz w:val="22"/>
          <w:szCs w:val="22"/>
        </w:rPr>
        <w:t xml:space="preserve">10 avril 2026</w:t>
      </w:r>
    </w:p>
    <w:p>
      <w:pPr>
        <w:spacing w:after="200"/>
        <w:jc w:val="center"/>
      </w:pPr>
      <w:r>
        <w:rPr>
          <w:rFonts w:ascii="Inter" w:cs="Inter" w:eastAsia="Inter" w:hAnsi="Inter"/>
          <w:color w:val="C97B5A"/>
          <w:sz w:val="20"/>
          <w:szCs w:val="20"/>
        </w:rPr>
        <w:t xml:space="preserve">Xi Empathy — Médiateur numérique</w:t>
      </w:r>
    </w:p>
    <w:p>
      <w:pPr>
        <w:spacing w:after="200"/>
        <w:jc w:val="center"/>
      </w:pPr>
      <w:r>
        <w:rPr>
          <w:rFonts w:ascii="Inter" w:cs="Inter" w:eastAsia="Inter" w:hAnsi="Inter"/>
          <w:color w:val="7A7269"/>
          <w:sz w:val="20"/>
          <w:szCs w:val="20"/>
        </w:rPr>
        <w:t xml:space="preserve">Destinataire : Maître Caroline DELMARCHE — c.delmarche@avocat.be</w:t>
      </w:r>
    </w:p>
    <w:p>
      <w:pPr>
        <w:pBdr>
          <w:bottom w:val="single" w:color="C97B5A" w:sz="6" w:space="1"/>
        </w:pBdr>
        <w:spacing w:after="100" w:before="600"/>
      </w:pPr>
    </w:p>
    <w:p>
      <w:pPr>
        <w:spacing w:after="200"/>
        <w:jc w:val="center"/>
      </w:pPr>
      <w:r>
        <w:rPr>
          <w:rFonts w:ascii="Inter" w:cs="Inter" w:eastAsia="Inter" w:hAnsi="Inter"/>
          <w:i/>
          <w:iCs/>
          <w:color w:val="7A7269"/>
          <w:sz w:val="18"/>
          <w:szCs w:val="18"/>
        </w:rPr>
        <w:t xml:space="preserve">Document confidentiel — Ceci est une médiation, pas une conclusion.</w:t>
      </w:r>
    </w:p>
    <w:p>
      <w:pPr>
        <w:jc w:val="center"/>
      </w:pPr>
      <w:r>
        <w:rPr>
          <w:rFonts w:ascii="Inter" w:cs="Inter" w:eastAsia="Inter" w:hAnsi="Inter"/>
          <w:i/>
          <w:iCs/>
          <w:color w:val="7A7269"/>
          <w:sz w:val="18"/>
          <w:szCs w:val="18"/>
        </w:rPr>
        <w:t xml:space="preserve">Rien de ce qui est exprimé ici ne constitue un engagement ni un accord définitif.</w:t>
      </w:r>
    </w:p>
    <w:p>
      <w:pPr>
        <w:pageBreakBefore/>
      </w:pPr>
    </w:p>
    <w:p>
      <w:pPr>
        <w:spacing w:after="200" w:before="400"/>
      </w:pPr>
      <w:r>
        <w:rPr>
          <w:rFonts w:ascii="Inter" w:cs="Inter" w:eastAsia="Inter" w:hAnsi="Inter"/>
          <w:b/>
          <w:bCs/>
          <w:color w:val="1A1A1A"/>
          <w:sz w:val="28"/>
          <w:szCs w:val="28"/>
        </w:rPr>
        <w:t xml:space="preserve">1. Contexte</w:t>
      </w:r>
    </w:p>
    <w:p>
      <w:pPr>
        <w:spacing w:after="120"/>
      </w:pPr>
      <w:r>
        <w:rPr>
          <w:rFonts w:ascii="Inter" w:cs="Inter" w:eastAsia="Inter" w:hAnsi="Inter"/>
          <w:color w:val="1A1A1A"/>
          <w:sz w:val="22"/>
          <w:szCs w:val="22"/>
        </w:rPr>
        <w:t xml:space="preserve">Marie Dupont (38 ans) et Thomas Dupont (41 ans) sont en procédure de séparation. Mariés depuis 12 ans, parents de Léa (8 ans) et Hugo (5 ans). Marie a sollicité une médiation via Xi Empathy à la demande de son avocate, Maître Caroline Delmarche. Thomas a accepté de participer à sa propre session de médiation.</w:t>
      </w:r>
    </w:p>
    <w:p>
      <w:pPr>
        <w:spacing w:after="120"/>
      </w:pPr>
      <w:r>
        <w:rPr>
          <w:rFonts w:ascii="Inter" w:cs="Inter" w:eastAsia="Inter" w:hAnsi="Inter"/>
          <w:color w:val="7A7269"/>
          <w:sz w:val="22"/>
          <w:szCs w:val="22"/>
        </w:rPr>
        <w:t xml:space="preserve">Les deux sessions ont été menées séparément et de manière confidentielle. Ni Marie ni Thomas n'a eu accès aux déclarations de l'autre avant la remise de ce rapport.</w:t>
      </w:r>
    </w:p>
    <w:p>
      <w:pPr>
        <w:spacing w:after="200" w:before="400"/>
      </w:pPr>
      <w:r>
        <w:rPr>
          <w:rFonts w:ascii="Inter" w:cs="Inter" w:eastAsia="Inter" w:hAnsi="Inter"/>
          <w:b/>
          <w:bCs/>
          <w:color w:val="1A1A1A"/>
          <w:sz w:val="28"/>
          <w:szCs w:val="28"/>
        </w:rPr>
        <w:t xml:space="preserve">2. Positions de Marie</w:t>
      </w:r>
    </w:p>
    <w:p>
      <w:pPr>
        <w:spacing w:after="120"/>
      </w:pPr>
      <w:r>
        <w:rPr>
          <w:rFonts w:ascii="Inter" w:cs="Inter" w:eastAsia="Inter" w:hAnsi="Inter"/>
          <w:color w:val="7A7269"/>
          <w:sz w:val="22"/>
          <w:szCs w:val="22"/>
        </w:rPr>
        <w:t xml:space="preserve">Session réalisée le 10 avril 2026. Durée : 18 minutes.</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E5E0D8" w:sz="1"/>
              <w:left w:val="single" w:color="E5E0D8" w:sz="1"/>
              <w:bottom w:val="single" w:color="E5E0D8" w:sz="1"/>
              <w:right w:val="single" w:color="E5E0D8" w:sz="1"/>
            </w:tcBorders>
            <w:shd w:fill="C97B5A" w:val="clear"/>
            <w:tcMar>
              <w:top w:type="dxa" w:w="80"/>
              <w:left w:type="dxa" w:w="120"/>
              <w:bottom w:type="dxa" w:w="80"/>
              <w:right w:type="dxa" w:w="120"/>
            </w:tcMar>
          </w:tcPr>
          <w:p>
            <w:r>
              <w:rPr>
                <w:rFonts w:ascii="Inter" w:cs="Inter" w:eastAsia="Inter" w:hAnsi="Inter"/>
                <w:b/>
                <w:bCs/>
                <w:color w:val="FFFFFF"/>
                <w:sz w:val="20"/>
                <w:szCs w:val="20"/>
              </w:rPr>
              <w:t xml:space="preserve">Thème</w:t>
            </w:r>
          </w:p>
        </w:tc>
        <w:tc>
          <w:tcPr>
            <w:tcW w:type="dxa" w:w="3780"/>
            <w:tcBorders>
              <w:top w:val="single" w:color="E5E0D8" w:sz="1"/>
              <w:left w:val="single" w:color="E5E0D8" w:sz="1"/>
              <w:bottom w:val="single" w:color="E5E0D8" w:sz="1"/>
              <w:right w:val="single" w:color="E5E0D8" w:sz="1"/>
            </w:tcBorders>
            <w:shd w:fill="C97B5A" w:val="clear"/>
            <w:tcMar>
              <w:top w:type="dxa" w:w="80"/>
              <w:left w:type="dxa" w:w="120"/>
              <w:bottom w:type="dxa" w:w="80"/>
              <w:right w:type="dxa" w:w="120"/>
            </w:tcMar>
          </w:tcPr>
          <w:p>
            <w:r>
              <w:rPr>
                <w:rFonts w:ascii="Inter" w:cs="Inter" w:eastAsia="Inter" w:hAnsi="Inter"/>
                <w:b/>
                <w:bCs/>
                <w:color w:val="FFFFFF"/>
                <w:sz w:val="20"/>
                <w:szCs w:val="20"/>
              </w:rPr>
              <w:t xml:space="preserve">Position</w:t>
            </w:r>
          </w:p>
        </w:tc>
        <w:tc>
          <w:tcPr>
            <w:tcW w:type="dxa" w:w="3780"/>
            <w:tcBorders>
              <w:top w:val="single" w:color="E5E0D8" w:sz="1"/>
              <w:left w:val="single" w:color="E5E0D8" w:sz="1"/>
              <w:bottom w:val="single" w:color="E5E0D8" w:sz="1"/>
              <w:right w:val="single" w:color="E5E0D8" w:sz="1"/>
            </w:tcBorders>
            <w:shd w:fill="C97B5A" w:val="clear"/>
            <w:tcMar>
              <w:top w:type="dxa" w:w="80"/>
              <w:left w:type="dxa" w:w="120"/>
              <w:bottom w:type="dxa" w:w="80"/>
              <w:right w:type="dxa" w:w="120"/>
            </w:tcMar>
          </w:tcPr>
          <w:p>
            <w:r>
              <w:rPr>
                <w:rFonts w:ascii="Inter" w:cs="Inter" w:eastAsia="Inter" w:hAnsi="Inter"/>
                <w:b/>
                <w:bCs/>
                <w:color w:val="FFFFFF"/>
                <w:sz w:val="20"/>
                <w:szCs w:val="20"/>
              </w:rPr>
              <w:t xml:space="preserve">Flexibilité</w:t>
            </w:r>
          </w:p>
        </w:tc>
      </w:tr>
      <w:tr>
        <w:tc>
          <w:tcPr>
            <w:tcW w:type="dxa" w:w="180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Enfants</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Léa (8 ans) et Hugo (5 ans) restent avec elle en semaine. Thomas les prend le week-end et la moitié des vacances.</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Ouverte à la garde alternée dans 2-3 ans quand Hugo sera plus grand. Pas maintenant.</w:t>
            </w:r>
          </w:p>
        </w:tc>
      </w:tr>
      <w:tr>
        <w:tc>
          <w:tcPr>
            <w:tcW w:type="dxa" w:w="180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Logement</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Souhaite garder la maison familiale pour la stabilité des enfants. Prête à racheter la part de Thomas.</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Peut emprunter sur la base de son CDI (3 200 € net). Estimation maison : 420 000 €, part de Thomas ~120 000 € après déduction du crédit restant (180 000 €).</w:t>
            </w:r>
          </w:p>
        </w:tc>
      </w:tr>
      <w:tr>
        <w:tc>
          <w:tcPr>
            <w:tcW w:type="dxa" w:w="180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Pension alimentaire</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400 € par enfant, soit 800 € au total. Destiné aux activités, vêtements, cantine.</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Montant basé sur l'écart de revenus (Thomas ~5 000 € net vs Marie ~3 200 € net).</w:t>
            </w:r>
          </w:p>
        </w:tc>
      </w:tr>
      <w:tr>
        <w:tc>
          <w:tcPr>
            <w:tcW w:type="dxa" w:w="180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Prestation compensatoire</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Reconnaît y avoir droit (3 ans à temps partiel pour les enfants). Ne veut pas que Thomas se sente dépouillé.</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Cherche un accord juste pour les deux parties.</w:t>
            </w:r>
          </w:p>
        </w:tc>
      </w:tr>
    </w:tbl>
    <w:p>
      <w:pPr>
        <w:pageBreakBefore/>
      </w:pPr>
    </w:p>
    <w:p>
      <w:pPr>
        <w:spacing w:after="200" w:before="400"/>
      </w:pPr>
      <w:r>
        <w:rPr>
          <w:rFonts w:ascii="Inter" w:cs="Inter" w:eastAsia="Inter" w:hAnsi="Inter"/>
          <w:b/>
          <w:bCs/>
          <w:color w:val="1A1A1A"/>
          <w:sz w:val="28"/>
          <w:szCs w:val="28"/>
        </w:rPr>
        <w:t xml:space="preserve">3. Positions de Thomas</w:t>
      </w:r>
    </w:p>
    <w:p>
      <w:pPr>
        <w:spacing w:after="120"/>
      </w:pPr>
      <w:r>
        <w:rPr>
          <w:rFonts w:ascii="Inter" w:cs="Inter" w:eastAsia="Inter" w:hAnsi="Inter"/>
          <w:color w:val="7A7269"/>
          <w:sz w:val="22"/>
          <w:szCs w:val="22"/>
        </w:rPr>
        <w:t xml:space="preserve">Session réalisée le 11 avril 2026. Durée : 22 minutes.</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E5E0D8" w:sz="1"/>
              <w:left w:val="single" w:color="E5E0D8" w:sz="1"/>
              <w:bottom w:val="single" w:color="E5E0D8" w:sz="1"/>
              <w:right w:val="single" w:color="E5E0D8" w:sz="1"/>
            </w:tcBorders>
            <w:shd w:fill="C97B5A" w:val="clear"/>
            <w:tcMar>
              <w:top w:type="dxa" w:w="80"/>
              <w:left w:type="dxa" w:w="120"/>
              <w:bottom w:type="dxa" w:w="80"/>
              <w:right w:type="dxa" w:w="120"/>
            </w:tcMar>
          </w:tcPr>
          <w:p>
            <w:r>
              <w:rPr>
                <w:rFonts w:ascii="Inter" w:cs="Inter" w:eastAsia="Inter" w:hAnsi="Inter"/>
                <w:b/>
                <w:bCs/>
                <w:color w:val="FFFFFF"/>
                <w:sz w:val="20"/>
                <w:szCs w:val="20"/>
              </w:rPr>
              <w:t xml:space="preserve">Thème</w:t>
            </w:r>
          </w:p>
        </w:tc>
        <w:tc>
          <w:tcPr>
            <w:tcW w:type="dxa" w:w="3780"/>
            <w:tcBorders>
              <w:top w:val="single" w:color="E5E0D8" w:sz="1"/>
              <w:left w:val="single" w:color="E5E0D8" w:sz="1"/>
              <w:bottom w:val="single" w:color="E5E0D8" w:sz="1"/>
              <w:right w:val="single" w:color="E5E0D8" w:sz="1"/>
            </w:tcBorders>
            <w:shd w:fill="C97B5A" w:val="clear"/>
            <w:tcMar>
              <w:top w:type="dxa" w:w="80"/>
              <w:left w:type="dxa" w:w="120"/>
              <w:bottom w:type="dxa" w:w="80"/>
              <w:right w:type="dxa" w:w="120"/>
            </w:tcMar>
          </w:tcPr>
          <w:p>
            <w:r>
              <w:rPr>
                <w:rFonts w:ascii="Inter" w:cs="Inter" w:eastAsia="Inter" w:hAnsi="Inter"/>
                <w:b/>
                <w:bCs/>
                <w:color w:val="FFFFFF"/>
                <w:sz w:val="20"/>
                <w:szCs w:val="20"/>
              </w:rPr>
              <w:t xml:space="preserve">Position</w:t>
            </w:r>
          </w:p>
        </w:tc>
        <w:tc>
          <w:tcPr>
            <w:tcW w:type="dxa" w:w="3780"/>
            <w:tcBorders>
              <w:top w:val="single" w:color="E5E0D8" w:sz="1"/>
              <w:left w:val="single" w:color="E5E0D8" w:sz="1"/>
              <w:bottom w:val="single" w:color="E5E0D8" w:sz="1"/>
              <w:right w:val="single" w:color="E5E0D8" w:sz="1"/>
            </w:tcBorders>
            <w:shd w:fill="C97B5A" w:val="clear"/>
            <w:tcMar>
              <w:top w:type="dxa" w:w="80"/>
              <w:left w:type="dxa" w:w="120"/>
              <w:bottom w:type="dxa" w:w="80"/>
              <w:right w:type="dxa" w:w="120"/>
            </w:tcMar>
          </w:tcPr>
          <w:p>
            <w:r>
              <w:rPr>
                <w:rFonts w:ascii="Inter" w:cs="Inter" w:eastAsia="Inter" w:hAnsi="Inter"/>
                <w:b/>
                <w:bCs/>
                <w:color w:val="FFFFFF"/>
                <w:sz w:val="20"/>
                <w:szCs w:val="20"/>
              </w:rPr>
              <w:t xml:space="preserve">Flexibilité</w:t>
            </w:r>
          </w:p>
        </w:tc>
      </w:tr>
      <w:tr>
        <w:tc>
          <w:tcPr>
            <w:tcW w:type="dxa" w:w="180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Enfants</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Souhaite une garde alternée une semaine sur deux pour maintenir un lien quotidien avec ses enfants.</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Accepterait un aménagement progressif si c'est dans l'intérêt des enfants. Prêt à revoir l'organisation quand Hugo entrera au CP.</w:t>
            </w:r>
          </w:p>
        </w:tc>
      </w:tr>
      <w:tr>
        <w:tc>
          <w:tcPr>
            <w:tcW w:type="dxa" w:w="180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Logement</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Préférerait vendre la maison et partager le produit de la vente à parts égales.</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Si Marie peut racheter sa part au prix du marché, il est ouvert à cette option. A besoin de liquidités pour se reloger.</w:t>
            </w:r>
          </w:p>
        </w:tc>
      </w:tr>
      <w:tr>
        <w:tc>
          <w:tcPr>
            <w:tcW w:type="dxa" w:w="180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Pension alimentaire</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Trouve 800 € élevé. Propose 300 € par enfant, soit 600 € au total.</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Prêt à prendre en charge directement certains frais (activités sportives, cantine) plutôt qu'une pension globale.</w:t>
            </w:r>
          </w:p>
        </w:tc>
      </w:tr>
      <w:tr>
        <w:tc>
          <w:tcPr>
            <w:tcW w:type="dxa" w:w="180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Prestation compensatoire</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Reconnaît le sacrifice de carrière de Marie. Préfère un versement en capital unique plutôt qu'une rente.</w:t>
            </w:r>
          </w:p>
        </w:tc>
        <w:tc>
          <w:tcPr>
            <w:tcW w:type="dxa" w:w="3780"/>
            <w:tcBorders>
              <w:top w:val="single" w:color="E5E0D8" w:sz="1"/>
              <w:left w:val="single" w:color="E5E0D8" w:sz="1"/>
              <w:bottom w:val="single" w:color="E5E0D8" w:sz="1"/>
              <w:right w:val="single" w:color="E5E0D8" w:sz="1"/>
            </w:tcBorders>
            <w:tcMar>
              <w:top w:type="dxa" w:w="80"/>
              <w:left w:type="dxa" w:w="120"/>
              <w:bottom w:type="dxa" w:w="80"/>
              <w:right w:type="dxa" w:w="120"/>
            </w:tcMar>
          </w:tcPr>
          <w:p>
            <w:r>
              <w:rPr>
                <w:rFonts w:ascii="Inter" w:cs="Inter" w:eastAsia="Inter" w:hAnsi="Inter"/>
                <w:color w:val="1A1A1A"/>
                <w:sz w:val="20"/>
                <w:szCs w:val="20"/>
              </w:rPr>
              <w:t xml:space="preserve">Ouvert à la discussion sur le montant, souhaite une solution qui ne compromette pas sa capacité à se reloger.</w:t>
            </w:r>
          </w:p>
        </w:tc>
      </w:tr>
    </w:tbl>
    <w:p>
      <w:pPr>
        <w:pageBreakBefore/>
      </w:pPr>
    </w:p>
    <w:p>
      <w:pPr>
        <w:spacing w:after="200" w:before="400"/>
      </w:pPr>
      <w:r>
        <w:rPr>
          <w:rFonts w:ascii="Inter" w:cs="Inter" w:eastAsia="Inter" w:hAnsi="Inter"/>
          <w:b/>
          <w:bCs/>
          <w:color w:val="1A1A1A"/>
          <w:sz w:val="28"/>
          <w:szCs w:val="28"/>
        </w:rPr>
        <w:t xml:space="preserve">4. Analyse du médiateur</w:t>
      </w:r>
    </w:p>
    <w:p>
      <w:pPr>
        <w:spacing w:after="120"/>
      </w:pPr>
      <w:r>
        <w:rPr>
          <w:rFonts w:ascii="Inter" w:cs="Inter" w:eastAsia="Inter" w:hAnsi="Inter"/>
          <w:color w:val="1A1A1A"/>
          <w:sz w:val="22"/>
          <w:szCs w:val="22"/>
        </w:rPr>
        <w:t xml:space="preserve">Après écoute des deux parties, Xi identifie les zones suivantes :</w:t>
      </w:r>
    </w:p>
    <w:p>
      <w:pPr>
        <w:spacing w:after="200"/>
      </w:pPr>
    </w:p>
    <w:p>
      <w:pPr>
        <w:spacing w:after="120" w:before="200"/>
      </w:pPr>
      <w:r>
        <w:rPr>
          <w:rFonts w:ascii="Inter" w:cs="Inter" w:eastAsia="Inter" w:hAnsi="Inter"/>
          <w:b/>
          <w:bCs/>
          <w:color w:val="2E7D32"/>
          <w:sz w:val="24"/>
          <w:szCs w:val="24"/>
        </w:rPr>
        <w:t xml:space="preserve">Points de convergence</w:t>
      </w:r>
    </w:p>
    <w:p>
      <w:pPr>
        <w:spacing w:after="120"/>
      </w:pPr>
      <w:r>
        <w:rPr>
          <w:rFonts w:ascii="Inter" w:cs="Inter" w:eastAsia="Inter" w:hAnsi="Inter"/>
          <w:color w:val="1A1A1A"/>
          <w:sz w:val="22"/>
          <w:szCs w:val="22"/>
        </w:rPr>
        <w:t xml:space="preserve">• Enfants : Les deux parents placent l'intérêt des enfants en priorité. Thomas accepte un aménagement progressif, Marie est ouverte à la garde alternée à terme. La base d'un accord existe.</w:t>
      </w:r>
    </w:p>
    <w:p>
      <w:pPr>
        <w:spacing w:after="120"/>
      </w:pPr>
      <w:r>
        <w:rPr>
          <w:rFonts w:ascii="Inter" w:cs="Inter" w:eastAsia="Inter" w:hAnsi="Inter"/>
          <w:color w:val="1A1A1A"/>
          <w:sz w:val="22"/>
          <w:szCs w:val="22"/>
        </w:rPr>
        <w:t xml:space="preserve">• Prestation compensatoire : Thomas reconnaît le sacrifice de carrière de Marie. Le principe n'est pas contesté, seules les modalités restent à négocier.</w:t>
      </w:r>
    </w:p>
    <w:p>
      <w:pPr>
        <w:spacing w:after="120"/>
      </w:pPr>
      <w:r>
        <w:rPr>
          <w:rFonts w:ascii="Inter" w:cs="Inter" w:eastAsia="Inter" w:hAnsi="Inter"/>
          <w:color w:val="1A1A1A"/>
          <w:sz w:val="22"/>
          <w:szCs w:val="22"/>
        </w:rPr>
        <w:t xml:space="preserve">• Intention commune : Les deux parties expriment le souhait d'un accord juste. Aucun des deux ne cherche à nuire à l'autre.</w:t>
      </w:r>
    </w:p>
    <w:p>
      <w:pPr>
        <w:spacing w:after="120" w:before="300"/>
      </w:pPr>
      <w:r>
        <w:rPr>
          <w:rFonts w:ascii="Inter" w:cs="Inter" w:eastAsia="Inter" w:hAnsi="Inter"/>
          <w:b/>
          <w:bCs/>
          <w:color w:val="C97B5A"/>
          <w:sz w:val="24"/>
          <w:szCs w:val="24"/>
        </w:rPr>
        <w:t xml:space="preserve">Points de divergence</w:t>
      </w:r>
    </w:p>
    <w:p>
      <w:pPr>
        <w:spacing w:after="120"/>
      </w:pPr>
      <w:r>
        <w:rPr>
          <w:rFonts w:ascii="Inter" w:cs="Inter" w:eastAsia="Inter" w:hAnsi="Inter"/>
          <w:color w:val="1A1A1A"/>
          <w:sz w:val="22"/>
          <w:szCs w:val="22"/>
        </w:rPr>
        <w:t xml:space="preserve">• Logement : Marie veut garder la maison, Thomas veut vendre. Cependant, Thomas est ouvert au rachat si le prix est au marché. La divergence porte sur le calendrier et les modalités financières, pas sur le principe.</w:t>
      </w:r>
    </w:p>
    <w:p>
      <w:pPr>
        <w:spacing w:after="120"/>
      </w:pPr>
      <w:r>
        <w:rPr>
          <w:rFonts w:ascii="Inter" w:cs="Inter" w:eastAsia="Inter" w:hAnsi="Inter"/>
          <w:color w:val="1A1A1A"/>
          <w:sz w:val="22"/>
          <w:szCs w:val="22"/>
        </w:rPr>
        <w:t xml:space="preserve">• Pension alimentaire : Écart de 200 € (800 € vs 600 €). Thomas propose de prendre en charge certains frais directement. Une solution mixte (pension + prise en charge directe de postes identifiés) pourrait satisfaire les deux parties.</w:t>
      </w:r>
    </w:p>
    <w:p>
      <w:pPr>
        <w:spacing w:after="120" w:before="300"/>
      </w:pPr>
      <w:r>
        <w:rPr>
          <w:rFonts w:ascii="Inter" w:cs="Inter" w:eastAsia="Inter" w:hAnsi="Inter"/>
          <w:b/>
          <w:bCs/>
          <w:color w:val="1A1A1A"/>
          <w:sz w:val="24"/>
          <w:szCs w:val="24"/>
        </w:rPr>
        <w:t xml:space="preserve">Estimation de la situation</w:t>
      </w:r>
    </w:p>
    <w:p>
      <w:pPr>
        <w:spacing w:after="120"/>
      </w:pPr>
      <w:r>
        <w:rPr>
          <w:rFonts w:ascii="Inter" w:cs="Inter" w:eastAsia="Inter" w:hAnsi="Inter"/>
          <w:color w:val="1A1A1A"/>
          <w:sz w:val="22"/>
          <w:szCs w:val="22"/>
        </w:rPr>
        <w:t xml:space="preserve">Le niveau de conflit est modéré. Les positions ne sont pas irréconciliables — elles reflètent des priorités différentes mais compatibles. Marie priorise la stabilité immédiate des enfants, Thomas priorise l'équité financière et le maintien du lien paternel. Ces deux objectifs ne sont pas contradictoires.</w:t>
      </w:r>
    </w:p>
    <w:p>
      <w:pPr>
        <w:spacing w:after="120"/>
      </w:pPr>
      <w:r>
        <w:rPr>
          <w:rFonts w:ascii="Inter" w:cs="Inter" w:eastAsia="Inter" w:hAnsi="Inter"/>
          <w:color w:val="1A1A1A"/>
          <w:sz w:val="22"/>
          <w:szCs w:val="22"/>
        </w:rPr>
        <w:t xml:space="preserve">Xi recommande une séance de négociation assistée sur deux points précis : (1) le calendrier de rachat de la part immobilière, et (2) la répartition pension / prise en charge directe des frais enfants. Les autres sujets peuvent être résolus par accord direct entre les avocats.</w:t>
      </w:r>
    </w:p>
    <w:p>
      <w:pPr>
        <w:pBdr>
          <w:top w:val="single" w:color="C97B5A" w:sz="6" w:space="1"/>
        </w:pBdr>
        <w:spacing w:after="200" w:before="600"/>
      </w:pPr>
    </w:p>
    <w:p>
      <w:pPr>
        <w:jc w:val="center"/>
      </w:pPr>
      <w:r>
        <w:rPr>
          <w:rFonts w:ascii="Inter" w:cs="Inter" w:eastAsia="Inter" w:hAnsi="Inter"/>
          <w:color w:val="C97B5A"/>
          <w:sz w:val="18"/>
          <w:szCs w:val="18"/>
        </w:rPr>
        <w:t xml:space="preserve">Xi Empathy — Médiateur numérique</w:t>
      </w:r>
    </w:p>
    <w:p>
      <w:pPr>
        <w:jc w:val="center"/>
      </w:pPr>
      <w:r>
        <w:rPr>
          <w:rFonts w:ascii="Inter" w:cs="Inter" w:eastAsia="Inter" w:hAnsi="Inter"/>
          <w:color w:val="7A7269"/>
          <w:sz w:val="18"/>
          <w:szCs w:val="18"/>
        </w:rPr>
        <w:t xml:space="preserve">xi-app.pro/empathique</w:t>
      </w:r>
    </w:p>
    <w:sectPr>
      <w:headerReference w:type="default" r:id="rId7"/>
      <w:footerReference w:type="default" r:id="rId8"/>
      <w:pgSz w:w="11906" w:h="16838" w:orient="portrait"/>
      <w:pgMar w:top="1440" w:right="1200" w:bottom="144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Inter" w:cs="Inter" w:eastAsia="Inter" w:hAnsi="Inter"/>
        <w:color w:val="7A7269"/>
        <w:sz w:val="16"/>
        <w:szCs w:val="16"/>
      </w:rPr>
      <w:t xml:space="preserve">Confidentiel — Ceci est une médiation, pas une conclusion  •  Page </w:t>
    </w:r>
    <w:r>
      <w:rPr>
        <w:rFonts w:ascii="Inter" w:cs="Inter" w:eastAsia="Inter" w:hAnsi="Inter"/>
        <w:color w:val="7A726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Inter" w:cs="Inter" w:eastAsia="Inter" w:hAnsi="Inter"/>
        <w:i/>
        <w:iCs/>
        <w:color w:val="7A7269"/>
        <w:sz w:val="18"/>
        <w:szCs w:val="18"/>
      </w:rPr>
      <w:t xml:space="preserve">Xi Empathy — Rapport de médiation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1b656967f7df033d8968be8ce0239cb1af0a12be.jp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2026-04-10T11:42:49.364Z</dcterms:created>
  <dcterms:modified xsi:type="dcterms:W3CDTF">2026-04-10T11:42:49.364Z</dcterms:modified>
</cp:coreProperties>
</file>

<file path=docProps/custom.xml><?xml version="1.0" encoding="utf-8"?>
<Properties xmlns="http://schemas.openxmlformats.org/officeDocument/2006/custom-properties" xmlns:vt="http://schemas.openxmlformats.org/officeDocument/2006/docPropsVTypes"/>
</file>